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4DAE" w14:textId="15D29556" w:rsidR="00822A84" w:rsidRPr="00F93789" w:rsidRDefault="00BC6AD7" w:rsidP="00BF248D">
      <w:pPr>
        <w:ind w:left="-284"/>
        <w:rPr>
          <w:b/>
          <w:lang w:val="en-US"/>
        </w:rPr>
      </w:pPr>
      <w:r w:rsidRPr="00F93789">
        <w:rPr>
          <w:b/>
          <w:lang w:val="en-US"/>
        </w:rPr>
        <w:t>FORM</w:t>
      </w:r>
      <w:r w:rsidR="00BF248D" w:rsidRPr="00F93789">
        <w:rPr>
          <w:b/>
          <w:lang w:val="en-US"/>
        </w:rPr>
        <w:t xml:space="preserve"> 13</w:t>
      </w:r>
      <w:r w:rsidR="00EE16FF" w:rsidRPr="00F93789">
        <w:rPr>
          <w:b/>
          <w:lang w:val="en-US"/>
        </w:rPr>
        <w:t xml:space="preserve">: </w:t>
      </w:r>
      <w:r w:rsidR="007645DC" w:rsidRPr="00F93789">
        <w:rPr>
          <w:b/>
          <w:lang w:val="en-US"/>
        </w:rPr>
        <w:t xml:space="preserve">Signature Page for the </w:t>
      </w:r>
      <w:r w:rsidR="00BF248D" w:rsidRPr="00F93789">
        <w:rPr>
          <w:b/>
          <w:lang w:val="en-US"/>
        </w:rPr>
        <w:t>GDPR</w:t>
      </w:r>
      <w:r w:rsidR="00BF248D">
        <w:rPr>
          <w:rStyle w:val="Appelnotedebasdep"/>
          <w:b/>
        </w:rPr>
        <w:footnoteReference w:id="1"/>
      </w:r>
      <w:r w:rsidR="00822A84" w:rsidRPr="00F93789">
        <w:rPr>
          <w:b/>
          <w:lang w:val="en-US"/>
        </w:rPr>
        <w:tab/>
      </w:r>
      <w:r w:rsidR="00822A84" w:rsidRPr="00F93789">
        <w:rPr>
          <w:b/>
          <w:lang w:val="en-US"/>
        </w:rPr>
        <w:tab/>
      </w:r>
    </w:p>
    <w:p w14:paraId="2482DEA2" w14:textId="0C16FA26" w:rsidR="00BF248D" w:rsidRPr="00F93789" w:rsidRDefault="00F93789" w:rsidP="00BF248D">
      <w:pPr>
        <w:spacing w:after="200"/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I</w:t>
      </w:r>
      <w:r>
        <w:rPr>
          <w:rFonts w:eastAsia="Times New Roman" w:cs="Arial"/>
          <w:lang w:val="en-US"/>
        </w:rPr>
        <w:t>n accordance with</w:t>
      </w:r>
      <w:r w:rsidR="00BF248D" w:rsidRPr="00F93789">
        <w:rPr>
          <w:rFonts w:eastAsia="Times New Roman" w:cs="Arial"/>
          <w:lang w:val="en-US"/>
        </w:rPr>
        <w:t xml:space="preserve"> the Belgian law of July 30, 2018 (Art. 198), all data collected as part of a clinical trial must be recorded in such a way that the subject cannot be identified by third parties outside the clinical trial site team.</w:t>
      </w:r>
    </w:p>
    <w:p w14:paraId="6DE8C906" w14:textId="77777777" w:rsidR="00BF248D" w:rsidRPr="00F93789" w:rsidRDefault="00BF248D" w:rsidP="00BF248D">
      <w:pPr>
        <w:spacing w:after="200"/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The following are considered identifying data: name, date of birth, Social Security number, address, phone number, administrative number, account number, email address, electronic login identifier (e.g., IP address), facial photo, voice recording, video conference, etc.</w:t>
      </w:r>
    </w:p>
    <w:p w14:paraId="4BA3B29C" w14:textId="6E784F6E" w:rsidR="00BF248D" w:rsidRPr="00F93789" w:rsidRDefault="00BF248D" w:rsidP="00BF248D">
      <w:pPr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Responses to the questions in the GDPR document will be analyzed in relation to the General Data Protection Regulation (</w:t>
      </w:r>
      <w:hyperlink r:id="rId8" w:history="1">
        <w:r w:rsidRPr="00F93789">
          <w:rPr>
            <w:rStyle w:val="Lienhypertexte"/>
            <w:rFonts w:eastAsia="Times New Roman" w:cs="Arial"/>
            <w:lang w:val="en-US"/>
          </w:rPr>
          <w:t>GDPR 2016/679</w:t>
        </w:r>
      </w:hyperlink>
      <w:r w:rsidRPr="00F93789">
        <w:rPr>
          <w:rFonts w:eastAsia="Times New Roman" w:cs="Arial"/>
          <w:lang w:val="en-US"/>
        </w:rPr>
        <w:t>) by the CTC</w:t>
      </w:r>
      <w:r w:rsidR="00F93789">
        <w:rPr>
          <w:rStyle w:val="Appelnotedebasdep"/>
          <w:rFonts w:eastAsia="Times New Roman" w:cs="Arial"/>
        </w:rPr>
        <w:footnoteReference w:id="2"/>
      </w:r>
      <w:r w:rsidRPr="00F93789">
        <w:rPr>
          <w:rFonts w:eastAsia="Times New Roman" w:cs="Arial"/>
          <w:lang w:val="en-US"/>
        </w:rPr>
        <w:t xml:space="preserve">’s central </w:t>
      </w:r>
      <w:r w:rsidR="00F93789">
        <w:rPr>
          <w:rFonts w:eastAsia="Times New Roman" w:cs="Arial"/>
          <w:lang w:val="en-US"/>
        </w:rPr>
        <w:t>desk</w:t>
      </w:r>
      <w:r w:rsidRPr="00F93789">
        <w:rPr>
          <w:rFonts w:eastAsia="Times New Roman" w:cs="Arial"/>
          <w:lang w:val="en-US"/>
        </w:rPr>
        <w:t>. If necessary, an opinion from the DAC</w:t>
      </w:r>
      <w:r w:rsidRPr="0096195B">
        <w:rPr>
          <w:rFonts w:eastAsia="Times New Roman"/>
          <w:vertAlign w:val="superscript"/>
        </w:rPr>
        <w:footnoteReference w:id="3"/>
      </w:r>
      <w:r w:rsidRPr="00F93789">
        <w:rPr>
          <w:rFonts w:eastAsia="Times New Roman" w:cs="Arial"/>
          <w:lang w:val="en-US"/>
        </w:rPr>
        <w:t xml:space="preserve"> will be </w:t>
      </w:r>
      <w:r w:rsidR="00F93789">
        <w:rPr>
          <w:rFonts w:eastAsia="Times New Roman" w:cs="Arial"/>
          <w:lang w:val="en-US"/>
        </w:rPr>
        <w:t>asked</w:t>
      </w:r>
      <w:r w:rsidRPr="00F93789">
        <w:rPr>
          <w:rFonts w:eastAsia="Times New Roman" w:cs="Arial"/>
          <w:lang w:val="en-US"/>
        </w:rPr>
        <w:t xml:space="preserve">. A supplementary questionnaire may be sent to the sponsor/CRO. </w:t>
      </w:r>
    </w:p>
    <w:p w14:paraId="6207E8A1" w14:textId="2C736F38" w:rsidR="00BF248D" w:rsidRPr="00F93789" w:rsidRDefault="00BF248D" w:rsidP="00BF248D">
      <w:pPr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 xml:space="preserve">The DAC’s review will take place </w:t>
      </w:r>
      <w:r w:rsidR="00F93789">
        <w:rPr>
          <w:rFonts w:eastAsia="Times New Roman" w:cs="Arial"/>
          <w:lang w:val="en-US"/>
        </w:rPr>
        <w:t>in parallel</w:t>
      </w:r>
      <w:r w:rsidRPr="00F93789">
        <w:rPr>
          <w:rFonts w:eastAsia="Times New Roman" w:cs="Arial"/>
          <w:lang w:val="en-US"/>
        </w:rPr>
        <w:t xml:space="preserve"> with the submission, and the DAC’s opinion will be </w:t>
      </w:r>
      <w:proofErr w:type="gramStart"/>
      <w:r w:rsidRPr="00F93789">
        <w:rPr>
          <w:rFonts w:eastAsia="Times New Roman" w:cs="Arial"/>
          <w:lang w:val="en-US"/>
        </w:rPr>
        <w:t>taken into account</w:t>
      </w:r>
      <w:proofErr w:type="gramEnd"/>
      <w:r w:rsidRPr="00F93789">
        <w:rPr>
          <w:rFonts w:eastAsia="Times New Roman" w:cs="Arial"/>
          <w:lang w:val="en-US"/>
        </w:rPr>
        <w:t xml:space="preserve"> during contract negotiations. </w:t>
      </w:r>
    </w:p>
    <w:p w14:paraId="5F996EB7" w14:textId="77777777" w:rsidR="00BF248D" w:rsidRPr="00F93789" w:rsidRDefault="00BF248D" w:rsidP="00BF248D">
      <w:pPr>
        <w:spacing w:before="120" w:after="200"/>
        <w:ind w:left="-284" w:right="-567"/>
        <w:rPr>
          <w:rFonts w:eastAsia="Times New Roman" w:cs="Arial"/>
          <w:lang w:val="en-US"/>
        </w:rPr>
      </w:pPr>
    </w:p>
    <w:p w14:paraId="1C394550" w14:textId="77777777" w:rsidR="00BF248D" w:rsidRPr="00F93789" w:rsidRDefault="00BF248D" w:rsidP="00BF248D">
      <w:pPr>
        <w:spacing w:before="120" w:after="200"/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Study title:</w:t>
      </w:r>
    </w:p>
    <w:p w14:paraId="5C24D7F1" w14:textId="77777777" w:rsidR="00BF248D" w:rsidRPr="00F93789" w:rsidRDefault="00BF248D" w:rsidP="00BF248D">
      <w:pPr>
        <w:spacing w:before="120" w:after="200"/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Acronym / protocol code:</w:t>
      </w:r>
    </w:p>
    <w:p w14:paraId="0C7D1624" w14:textId="77777777" w:rsidR="00BF248D" w:rsidRPr="00F93789" w:rsidRDefault="00BF248D" w:rsidP="00BF248D">
      <w:pPr>
        <w:spacing w:before="120" w:after="200"/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Sponsor / CRO:</w:t>
      </w:r>
    </w:p>
    <w:p w14:paraId="35C71189" w14:textId="77777777" w:rsidR="00BF248D" w:rsidRPr="00F93789" w:rsidRDefault="00BF248D" w:rsidP="00BF248D">
      <w:pPr>
        <w:spacing w:before="120" w:after="200"/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CUSL Principal Investigator (PI):</w:t>
      </w:r>
    </w:p>
    <w:p w14:paraId="4EC09ECA" w14:textId="77777777" w:rsidR="00BF248D" w:rsidRPr="00F93789" w:rsidRDefault="00BF248D" w:rsidP="00BF248D">
      <w:pPr>
        <w:ind w:left="-284" w:right="-567"/>
        <w:rPr>
          <w:rFonts w:eastAsia="Times New Roman" w:cs="Arial"/>
          <w:lang w:val="en-US"/>
        </w:rPr>
      </w:pPr>
    </w:p>
    <w:p w14:paraId="4E987CE7" w14:textId="39A3201B" w:rsidR="00BF248D" w:rsidRPr="00F93789" w:rsidRDefault="00BF248D" w:rsidP="00BF248D">
      <w:pPr>
        <w:ind w:left="-284" w:right="-567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 xml:space="preserve">As the study sponsor, I confirm that data collection and processing are conducted in full compliance with European Regulation 2016/679 of April 27, 2016, on the protection of natural persons </w:t>
      </w:r>
      <w:proofErr w:type="gramStart"/>
      <w:r w:rsidRPr="00F93789">
        <w:rPr>
          <w:rFonts w:eastAsia="Times New Roman" w:cs="Arial"/>
          <w:lang w:val="en-US"/>
        </w:rPr>
        <w:t>with regard to</w:t>
      </w:r>
      <w:proofErr w:type="gramEnd"/>
      <w:r w:rsidRPr="00F93789">
        <w:rPr>
          <w:rFonts w:eastAsia="Times New Roman" w:cs="Arial"/>
          <w:lang w:val="en-US"/>
        </w:rPr>
        <w:t xml:space="preserve"> the processing of personal data and on the free movement of such data (GDPR) and the national laws adopted </w:t>
      </w:r>
      <w:r w:rsidR="00F93789">
        <w:rPr>
          <w:rFonts w:eastAsia="Times New Roman" w:cs="Arial"/>
          <w:lang w:val="en-US"/>
        </w:rPr>
        <w:t>in accordance with</w:t>
      </w:r>
      <w:r w:rsidRPr="00F93789">
        <w:rPr>
          <w:rFonts w:eastAsia="Times New Roman" w:cs="Arial"/>
          <w:lang w:val="en-US"/>
        </w:rPr>
        <w:t xml:space="preserve"> the GDPR.</w:t>
      </w:r>
    </w:p>
    <w:p w14:paraId="4AFC9BBC" w14:textId="77777777" w:rsidR="00BF248D" w:rsidRPr="00F93789" w:rsidRDefault="00BF248D" w:rsidP="00BF248D">
      <w:pPr>
        <w:ind w:left="-567"/>
        <w:rPr>
          <w:rFonts w:eastAsia="Calibri" w:cs="Arial"/>
          <w:caps/>
          <w:lang w:val="en-US"/>
        </w:rPr>
      </w:pPr>
    </w:p>
    <w:p w14:paraId="16FAFBB3" w14:textId="77777777" w:rsidR="00BF248D" w:rsidRPr="00F93789" w:rsidRDefault="00BF248D" w:rsidP="00BF248D">
      <w:pPr>
        <w:ind w:left="-284"/>
        <w:rPr>
          <w:rFonts w:eastAsia="Times New Roman" w:cs="Arial"/>
          <w:lang w:val="en-US"/>
        </w:rPr>
      </w:pPr>
      <w:r w:rsidRPr="00F93789">
        <w:rPr>
          <w:rFonts w:eastAsia="Times New Roman" w:cs="Arial"/>
          <w:lang w:val="en-US"/>
        </w:rPr>
        <w:t>Date:</w:t>
      </w:r>
    </w:p>
    <w:p w14:paraId="13209736" w14:textId="77777777" w:rsidR="00BF248D" w:rsidRPr="00F93789" w:rsidRDefault="00BF248D" w:rsidP="00BF248D">
      <w:pPr>
        <w:ind w:left="-284"/>
        <w:rPr>
          <w:rFonts w:eastAsia="Calibri" w:cs="Arial"/>
          <w:lang w:val="en-US"/>
        </w:rPr>
      </w:pPr>
      <w:r w:rsidRPr="00F93789">
        <w:rPr>
          <w:rFonts w:eastAsia="Calibri" w:cs="Arial"/>
          <w:lang w:val="en-US"/>
        </w:rPr>
        <w:t xml:space="preserve">Signature of the sponsor / CRO: </w:t>
      </w:r>
    </w:p>
    <w:p w14:paraId="20940EA0" w14:textId="77777777" w:rsidR="007645DC" w:rsidRPr="00F93789" w:rsidRDefault="007645DC" w:rsidP="00345BE2">
      <w:pPr>
        <w:rPr>
          <w:lang w:val="en-US"/>
        </w:rPr>
      </w:pPr>
    </w:p>
    <w:p w14:paraId="22F7035F" w14:textId="77777777" w:rsidR="00822A84" w:rsidRPr="00F93789" w:rsidRDefault="00822A84" w:rsidP="00345BE2">
      <w:pPr>
        <w:rPr>
          <w:lang w:val="en-US"/>
        </w:rPr>
      </w:pPr>
    </w:p>
    <w:sectPr w:rsidR="00822A84" w:rsidRPr="00F9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464A" w14:textId="77777777" w:rsidR="00BF248D" w:rsidRDefault="00BF248D" w:rsidP="00BF248D">
      <w:pPr>
        <w:spacing w:after="0" w:line="240" w:lineRule="auto"/>
      </w:pPr>
      <w:r>
        <w:separator/>
      </w:r>
    </w:p>
  </w:endnote>
  <w:endnote w:type="continuationSeparator" w:id="0">
    <w:p w14:paraId="7D4A3FEA" w14:textId="77777777" w:rsidR="00BF248D" w:rsidRDefault="00BF248D" w:rsidP="00BF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9E4E" w14:textId="77777777" w:rsidR="00BF248D" w:rsidRDefault="00BF248D" w:rsidP="00BF248D">
      <w:pPr>
        <w:spacing w:after="0" w:line="240" w:lineRule="auto"/>
      </w:pPr>
      <w:r>
        <w:separator/>
      </w:r>
    </w:p>
  </w:footnote>
  <w:footnote w:type="continuationSeparator" w:id="0">
    <w:p w14:paraId="03799946" w14:textId="77777777" w:rsidR="00BF248D" w:rsidRDefault="00BF248D" w:rsidP="00BF248D">
      <w:pPr>
        <w:spacing w:after="0" w:line="240" w:lineRule="auto"/>
      </w:pPr>
      <w:r>
        <w:continuationSeparator/>
      </w:r>
    </w:p>
  </w:footnote>
  <w:footnote w:id="1">
    <w:p w14:paraId="4AB7B180" w14:textId="1E0B2D8A" w:rsidR="00BF248D" w:rsidRPr="00F93789" w:rsidRDefault="00BF248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93789">
        <w:rPr>
          <w:lang w:val="en-US"/>
        </w:rPr>
        <w:t xml:space="preserve"> GDPR: General Data Protection Regulation</w:t>
      </w:r>
    </w:p>
  </w:footnote>
  <w:footnote w:id="2">
    <w:p w14:paraId="7256F8D2" w14:textId="77777777" w:rsidR="00F93789" w:rsidRPr="00F93789" w:rsidRDefault="00F93789" w:rsidP="00F9378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93789">
        <w:rPr>
          <w:lang w:val="en-US"/>
        </w:rPr>
        <w:t xml:space="preserve"> CTC: Clinical Trial Center</w:t>
      </w:r>
    </w:p>
  </w:footnote>
  <w:footnote w:id="3">
    <w:p w14:paraId="64559F46" w14:textId="77777777" w:rsidR="00BF248D" w:rsidRPr="00F93789" w:rsidRDefault="00BF248D" w:rsidP="00BF248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93789">
        <w:rPr>
          <w:lang w:val="en-US"/>
        </w:rPr>
        <w:t xml:space="preserve"> DAC: Data Access Committee: a committee responsible for promoting the use of health data while ensuring data governance within the Saint-Luc University Clinics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7DD"/>
    <w:multiLevelType w:val="hybridMultilevel"/>
    <w:tmpl w:val="48542B8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D5D17"/>
    <w:multiLevelType w:val="hybridMultilevel"/>
    <w:tmpl w:val="28DAB53C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393341"/>
    <w:multiLevelType w:val="hybridMultilevel"/>
    <w:tmpl w:val="146CDFA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4219AE"/>
    <w:multiLevelType w:val="hybridMultilevel"/>
    <w:tmpl w:val="2092E4CE"/>
    <w:lvl w:ilvl="0" w:tplc="A09ABF3C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471F7"/>
    <w:multiLevelType w:val="hybridMultilevel"/>
    <w:tmpl w:val="D2C085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4753E"/>
    <w:multiLevelType w:val="hybridMultilevel"/>
    <w:tmpl w:val="1EA4D072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A861BE"/>
    <w:multiLevelType w:val="multilevel"/>
    <w:tmpl w:val="F4282CBA"/>
    <w:lvl w:ilvl="0">
      <w:start w:val="1"/>
      <w:numFmt w:val="decimal"/>
      <w:pStyle w:val="TitreS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C128A4"/>
    <w:multiLevelType w:val="hybridMultilevel"/>
    <w:tmpl w:val="93A46B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698"/>
    <w:multiLevelType w:val="hybridMultilevel"/>
    <w:tmpl w:val="CC2E93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4F35"/>
    <w:multiLevelType w:val="hybridMultilevel"/>
    <w:tmpl w:val="E454F3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071A"/>
    <w:multiLevelType w:val="hybridMultilevel"/>
    <w:tmpl w:val="5BBC9C60"/>
    <w:lvl w:ilvl="0" w:tplc="A09ABF3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2ACC"/>
    <w:multiLevelType w:val="multilevel"/>
    <w:tmpl w:val="8A348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S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5639033">
    <w:abstractNumId w:val="11"/>
  </w:num>
  <w:num w:numId="2" w16cid:durableId="2108695553">
    <w:abstractNumId w:val="11"/>
  </w:num>
  <w:num w:numId="3" w16cid:durableId="1738287105">
    <w:abstractNumId w:val="6"/>
  </w:num>
  <w:num w:numId="4" w16cid:durableId="1307397789">
    <w:abstractNumId w:val="4"/>
  </w:num>
  <w:num w:numId="5" w16cid:durableId="1029378384">
    <w:abstractNumId w:val="10"/>
  </w:num>
  <w:num w:numId="6" w16cid:durableId="1400713303">
    <w:abstractNumId w:val="9"/>
  </w:num>
  <w:num w:numId="7" w16cid:durableId="197091695">
    <w:abstractNumId w:val="1"/>
  </w:num>
  <w:num w:numId="8" w16cid:durableId="1904947675">
    <w:abstractNumId w:val="2"/>
  </w:num>
  <w:num w:numId="9" w16cid:durableId="994457872">
    <w:abstractNumId w:val="7"/>
  </w:num>
  <w:num w:numId="10" w16cid:durableId="1614289463">
    <w:abstractNumId w:val="0"/>
  </w:num>
  <w:num w:numId="11" w16cid:durableId="60448684">
    <w:abstractNumId w:val="5"/>
  </w:num>
  <w:num w:numId="12" w16cid:durableId="331640586">
    <w:abstractNumId w:val="8"/>
  </w:num>
  <w:num w:numId="13" w16cid:durableId="193516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6D"/>
    <w:rsid w:val="000531B5"/>
    <w:rsid w:val="00084D6D"/>
    <w:rsid w:val="001C7201"/>
    <w:rsid w:val="001E5561"/>
    <w:rsid w:val="001E66FA"/>
    <w:rsid w:val="00251F42"/>
    <w:rsid w:val="00284F32"/>
    <w:rsid w:val="002B66A8"/>
    <w:rsid w:val="002D368C"/>
    <w:rsid w:val="00345BE2"/>
    <w:rsid w:val="00422082"/>
    <w:rsid w:val="004325F1"/>
    <w:rsid w:val="0043367B"/>
    <w:rsid w:val="004C2AD4"/>
    <w:rsid w:val="005223C5"/>
    <w:rsid w:val="005304EE"/>
    <w:rsid w:val="00571A91"/>
    <w:rsid w:val="006C7884"/>
    <w:rsid w:val="00721AB3"/>
    <w:rsid w:val="007645DC"/>
    <w:rsid w:val="00822A84"/>
    <w:rsid w:val="008A4B95"/>
    <w:rsid w:val="00956317"/>
    <w:rsid w:val="00A43477"/>
    <w:rsid w:val="00A6545A"/>
    <w:rsid w:val="00A72E82"/>
    <w:rsid w:val="00AD452F"/>
    <w:rsid w:val="00BC6AD7"/>
    <w:rsid w:val="00BF248D"/>
    <w:rsid w:val="00BF2B4B"/>
    <w:rsid w:val="00CA71D3"/>
    <w:rsid w:val="00D34B58"/>
    <w:rsid w:val="00D47223"/>
    <w:rsid w:val="00D756D3"/>
    <w:rsid w:val="00E74C5D"/>
    <w:rsid w:val="00E85EE9"/>
    <w:rsid w:val="00ED5A9A"/>
    <w:rsid w:val="00EE16FF"/>
    <w:rsid w:val="00EE6F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27AC"/>
  <w15:chartTrackingRefBased/>
  <w15:docId w15:val="{FBB4713D-2A81-4208-82A6-992CA01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2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2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OP2">
    <w:name w:val="Titre SOP 2"/>
    <w:basedOn w:val="Titre2"/>
    <w:link w:val="TitreSOP2Car"/>
    <w:qFormat/>
    <w:rsid w:val="00A72E82"/>
    <w:pPr>
      <w:numPr>
        <w:ilvl w:val="1"/>
        <w:numId w:val="2"/>
      </w:numPr>
      <w:spacing w:before="120" w:after="120" w:line="240" w:lineRule="auto"/>
    </w:pPr>
    <w:rPr>
      <w:bCs/>
      <w:color w:val="8496B0" w:themeColor="text2" w:themeTint="99"/>
      <w:u w:val="single"/>
    </w:rPr>
  </w:style>
  <w:style w:type="character" w:customStyle="1" w:styleId="TitreSOP2Car">
    <w:name w:val="Titre SOP 2 Car"/>
    <w:basedOn w:val="Titre2Car"/>
    <w:link w:val="TitreSOP2"/>
    <w:rsid w:val="00A72E82"/>
    <w:rPr>
      <w:rFonts w:asciiTheme="majorHAnsi" w:eastAsiaTheme="majorEastAsia" w:hAnsiTheme="majorHAnsi" w:cstheme="majorBidi"/>
      <w:bCs/>
      <w:color w:val="8496B0" w:themeColor="text2" w:themeTint="99"/>
      <w:sz w:val="26"/>
      <w:szCs w:val="26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72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SOP1">
    <w:name w:val="Titre SOP 1"/>
    <w:basedOn w:val="Titre1"/>
    <w:next w:val="Normal"/>
    <w:link w:val="TitreSOP1Car"/>
    <w:qFormat/>
    <w:rsid w:val="00A72E82"/>
    <w:pPr>
      <w:numPr>
        <w:numId w:val="3"/>
      </w:numPr>
      <w:spacing w:before="0" w:after="120" w:line="240" w:lineRule="auto"/>
      <w:ind w:left="357" w:hanging="357"/>
    </w:pPr>
    <w:rPr>
      <w:b/>
      <w:bCs/>
      <w:smallCaps/>
      <w:color w:val="8496B0" w:themeColor="text2" w:themeTint="99"/>
      <w:sz w:val="28"/>
      <w:szCs w:val="28"/>
    </w:rPr>
  </w:style>
  <w:style w:type="character" w:customStyle="1" w:styleId="TitreSOP1Car">
    <w:name w:val="Titre SOP 1 Car"/>
    <w:basedOn w:val="Policepardfaut"/>
    <w:link w:val="TitreSOP1"/>
    <w:rsid w:val="00A72E82"/>
    <w:rPr>
      <w:rFonts w:asciiTheme="majorHAnsi" w:eastAsiaTheme="majorEastAsia" w:hAnsiTheme="majorHAnsi" w:cstheme="majorBidi"/>
      <w:b/>
      <w:bCs/>
      <w:smallCaps/>
      <w:color w:val="8496B0" w:themeColor="text2" w:themeTint="99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72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4347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248D"/>
    <w:pPr>
      <w:spacing w:after="0" w:line="240" w:lineRule="auto"/>
      <w:ind w:left="34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24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248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F2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HTML/?uri=CELEX:32016R0679&amp;from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15B0-0F83-47F9-B3F8-AA909F01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 (CUSL)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BEAUFAY Isabelle</dc:creator>
  <cp:keywords>, docId:A592DE0CAA4401764B50CA9D596EA5DA</cp:keywords>
  <dc:description/>
  <cp:lastModifiedBy>BEAUFAY Isabelle</cp:lastModifiedBy>
  <cp:revision>4</cp:revision>
  <dcterms:created xsi:type="dcterms:W3CDTF">2026-02-12T10:12:00Z</dcterms:created>
  <dcterms:modified xsi:type="dcterms:W3CDTF">2026-03-17T15:39:00Z</dcterms:modified>
</cp:coreProperties>
</file>